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36"/>
        <w:gridCol w:w="222"/>
        <w:gridCol w:w="222"/>
      </w:tblGrid>
      <w:tr w:rsidR="004D7DA7" w:rsidRPr="00613D92" w:rsidTr="00FC03E4">
        <w:trPr>
          <w:gridAfter w:val="1"/>
          <w:wAfter w:w="222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D92" w:rsidRPr="00613D92" w:rsidRDefault="00613D92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DA7" w:rsidRPr="00613D92" w:rsidRDefault="004D7DA7">
            <w:pPr>
              <w:rPr>
                <w:lang w:val="ru-RU"/>
              </w:rPr>
            </w:pPr>
          </w:p>
        </w:tc>
      </w:tr>
      <w:tr w:rsidR="00D252F9" w:rsidRPr="00D252F9" w:rsidTr="00FC0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336" w:type="dxa"/>
          <w:trHeight w:val="199"/>
        </w:trPr>
        <w:tc>
          <w:tcPr>
            <w:tcW w:w="222" w:type="dxa"/>
          </w:tcPr>
          <w:p w:rsidR="00D252F9" w:rsidRPr="0000169E" w:rsidRDefault="00D252F9" w:rsidP="00522770">
            <w:pPr>
              <w:keepNext/>
              <w:widowControl w:val="0"/>
              <w:suppressAutoHyphens/>
              <w:ind w:firstLine="709"/>
              <w:jc w:val="center"/>
            </w:pPr>
          </w:p>
        </w:tc>
        <w:tc>
          <w:tcPr>
            <w:tcW w:w="222" w:type="dxa"/>
          </w:tcPr>
          <w:p w:rsidR="00D252F9" w:rsidRPr="00D252F9" w:rsidRDefault="00D252F9" w:rsidP="00522770">
            <w:pPr>
              <w:tabs>
                <w:tab w:val="left" w:pos="3870"/>
              </w:tabs>
              <w:spacing w:after="200" w:line="276" w:lineRule="auto"/>
              <w:rPr>
                <w:lang w:val="ru-RU"/>
              </w:rPr>
            </w:pPr>
          </w:p>
        </w:tc>
      </w:tr>
      <w:tr w:rsidR="00D252F9" w:rsidRPr="00D252F9" w:rsidTr="00FC0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09"/>
        </w:trPr>
        <w:tc>
          <w:tcPr>
            <w:tcW w:w="10558" w:type="dxa"/>
            <w:gridSpan w:val="2"/>
          </w:tcPr>
          <w:p w:rsidR="00D252F9" w:rsidRPr="00D252F9" w:rsidRDefault="00D252F9" w:rsidP="00522770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  <w:tr w:rsidR="00D252F9" w:rsidRPr="00FC03E4" w:rsidTr="00FC0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199"/>
        </w:trPr>
        <w:tc>
          <w:tcPr>
            <w:tcW w:w="10558" w:type="dxa"/>
            <w:gridSpan w:val="2"/>
          </w:tcPr>
          <w:p w:rsidR="00D252F9" w:rsidRPr="00D252F9" w:rsidRDefault="00D252F9" w:rsidP="00522770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  <w:tr w:rsidR="00D252F9" w:rsidRPr="00FC03E4" w:rsidTr="00FC0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199"/>
        </w:trPr>
        <w:tc>
          <w:tcPr>
            <w:tcW w:w="10558" w:type="dxa"/>
            <w:gridSpan w:val="2"/>
          </w:tcPr>
          <w:p w:rsidR="00D252F9" w:rsidRPr="00D252F9" w:rsidRDefault="00D252F9" w:rsidP="00522770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5035"/>
        <w:tblOverlap w:val="never"/>
        <w:tblW w:w="10186" w:type="dxa"/>
        <w:tblLook w:val="04A0" w:firstRow="1" w:lastRow="0" w:firstColumn="1" w:lastColumn="0" w:noHBand="0" w:noVBand="1"/>
      </w:tblPr>
      <w:tblGrid>
        <w:gridCol w:w="57"/>
        <w:gridCol w:w="5206"/>
        <w:gridCol w:w="5139"/>
        <w:gridCol w:w="8"/>
      </w:tblGrid>
      <w:tr w:rsidR="00FC03E4" w:rsidRPr="0075283E" w:rsidTr="0029290A">
        <w:trPr>
          <w:gridAfter w:val="1"/>
          <w:wAfter w:w="11" w:type="dxa"/>
          <w:trHeight w:val="199"/>
        </w:trPr>
        <w:tc>
          <w:tcPr>
            <w:tcW w:w="10175" w:type="dxa"/>
            <w:gridSpan w:val="3"/>
          </w:tcPr>
          <w:p w:rsidR="00FC03E4" w:rsidRDefault="00FC03E4" w:rsidP="00D255BB">
            <w:pPr>
              <w:spacing w:before="0" w:beforeAutospacing="0" w:after="0" w:afterAutospacing="0" w:line="276" w:lineRule="auto"/>
              <w:ind w:left="-10" w:firstLine="1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D255BB" w:rsidRPr="0075283E" w:rsidRDefault="00D255BB" w:rsidP="00D255BB">
            <w:pPr>
              <w:spacing w:before="0" w:beforeAutospacing="0" w:after="0" w:afterAutospacing="0" w:line="276" w:lineRule="auto"/>
              <w:ind w:left="-10" w:firstLine="1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03E4" w:rsidRPr="00851B6E" w:rsidTr="0029290A">
        <w:trPr>
          <w:gridBefore w:val="1"/>
          <w:wBefore w:w="71" w:type="dxa"/>
          <w:trHeight w:val="199"/>
        </w:trPr>
        <w:tc>
          <w:tcPr>
            <w:tcW w:w="4999" w:type="dxa"/>
          </w:tcPr>
          <w:p w:rsidR="00FC03E4" w:rsidRPr="0075283E" w:rsidRDefault="00FC03E4" w:rsidP="00D255B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FC03E4" w:rsidRPr="0075283E" w:rsidRDefault="00FC03E4" w:rsidP="00D255B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9A7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заседании </w:t>
            </w:r>
            <w:proofErr w:type="gramStart"/>
            <w:r w:rsidR="00292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</w:t>
            </w:r>
            <w:r w:rsidR="009A7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="00292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C03E4" w:rsidRPr="0075283E" w:rsidRDefault="009A7313" w:rsidP="00D255B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совета </w:t>
            </w:r>
            <w:r w:rsidR="00FC03E4"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МБДОУ д/с № 43</w:t>
            </w:r>
          </w:p>
          <w:p w:rsidR="00FC03E4" w:rsidRPr="0075283E" w:rsidRDefault="0029290A" w:rsidP="00D255B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9A7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0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A7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9A7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C0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FC03E4"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</w:p>
          <w:p w:rsidR="00FC03E4" w:rsidRPr="0075283E" w:rsidRDefault="00FC03E4" w:rsidP="00D255BB">
            <w:pPr>
              <w:keepNext/>
              <w:widowControl w:val="0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03E4" w:rsidRPr="0075283E" w:rsidRDefault="00FC03E4" w:rsidP="00D255BB">
            <w:pPr>
              <w:keepNext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6" w:type="dxa"/>
            <w:gridSpan w:val="2"/>
          </w:tcPr>
          <w:p w:rsidR="00FC03E4" w:rsidRPr="0075283E" w:rsidRDefault="0029290A" w:rsidP="00D255BB">
            <w:pPr>
              <w:keepNext/>
              <w:widowControl w:val="0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FC03E4"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УТВЕРЖДАЮ</w:t>
            </w:r>
          </w:p>
          <w:p w:rsidR="00FC03E4" w:rsidRPr="0075283E" w:rsidRDefault="0029290A" w:rsidP="0029290A">
            <w:pPr>
              <w:keepNext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FC03E4"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МБДОУ д/с № 43</w:t>
            </w:r>
          </w:p>
          <w:p w:rsidR="00FC03E4" w:rsidRPr="0075283E" w:rsidRDefault="0029290A" w:rsidP="0029290A">
            <w:pPr>
              <w:keepNext/>
              <w:widowControl w:val="0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FC03E4"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 Назаренко Н.С.</w:t>
            </w:r>
          </w:p>
          <w:p w:rsidR="00FC03E4" w:rsidRPr="0075283E" w:rsidRDefault="0029290A" w:rsidP="0029290A">
            <w:pPr>
              <w:keepNext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C0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168 от 30.12.2022</w:t>
            </w:r>
            <w:r w:rsidR="00FC03E4" w:rsidRPr="00752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FC03E4" w:rsidRPr="0075283E" w:rsidRDefault="00FC03E4" w:rsidP="00D255BB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03E4" w:rsidRPr="0075283E" w:rsidRDefault="00FC03E4" w:rsidP="00D255BB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03E4" w:rsidRPr="0075283E" w:rsidRDefault="00FC03E4" w:rsidP="00D255BB">
            <w:pPr>
              <w:tabs>
                <w:tab w:val="left" w:pos="38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90A" w:rsidRPr="00851B6E" w:rsidTr="0029290A">
        <w:trPr>
          <w:gridAfter w:val="1"/>
          <w:wAfter w:w="11" w:type="dxa"/>
          <w:trHeight w:val="199"/>
        </w:trPr>
        <w:tc>
          <w:tcPr>
            <w:tcW w:w="10175" w:type="dxa"/>
            <w:gridSpan w:val="3"/>
          </w:tcPr>
          <w:p w:rsidR="0029290A" w:rsidRPr="0075283E" w:rsidRDefault="0029290A" w:rsidP="0029290A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3E4" w:rsidRPr="00851B6E" w:rsidTr="0029290A">
        <w:trPr>
          <w:gridAfter w:val="1"/>
          <w:wAfter w:w="11" w:type="dxa"/>
          <w:trHeight w:val="209"/>
        </w:trPr>
        <w:tc>
          <w:tcPr>
            <w:tcW w:w="10175" w:type="dxa"/>
            <w:gridSpan w:val="3"/>
          </w:tcPr>
          <w:p w:rsidR="00FC03E4" w:rsidRDefault="00FC03E4" w:rsidP="00D255BB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C03E4" w:rsidRPr="0075283E" w:rsidRDefault="00FC03E4" w:rsidP="00D255BB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3E4" w:rsidRPr="00851B6E" w:rsidTr="0029290A">
        <w:trPr>
          <w:gridAfter w:val="1"/>
          <w:wAfter w:w="11" w:type="dxa"/>
          <w:trHeight w:val="199"/>
        </w:trPr>
        <w:tc>
          <w:tcPr>
            <w:tcW w:w="10175" w:type="dxa"/>
            <w:gridSpan w:val="3"/>
          </w:tcPr>
          <w:tbl>
            <w:tblPr>
              <w:tblpPr w:leftFromText="180" w:rightFromText="180" w:vertAnchor="text" w:horzAnchor="margin" w:tblpY="-163"/>
              <w:tblOverlap w:val="never"/>
              <w:tblW w:w="10186" w:type="dxa"/>
              <w:tblLook w:val="04A0" w:firstRow="1" w:lastRow="0" w:firstColumn="1" w:lastColumn="0" w:noHBand="0" w:noVBand="1"/>
            </w:tblPr>
            <w:tblGrid>
              <w:gridCol w:w="5093"/>
              <w:gridCol w:w="5093"/>
            </w:tblGrid>
            <w:tr w:rsidR="0029290A" w:rsidRPr="00851B6E" w:rsidTr="0029290A">
              <w:trPr>
                <w:trHeight w:val="315"/>
              </w:trPr>
              <w:tc>
                <w:tcPr>
                  <w:tcW w:w="5093" w:type="dxa"/>
                </w:tcPr>
                <w:p w:rsidR="0029290A" w:rsidRPr="009A7313" w:rsidRDefault="0029290A" w:rsidP="00112450">
                  <w:pPr>
                    <w:keepNext/>
                    <w:widowControl w:val="0"/>
                    <w:suppressAutoHyphens/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93" w:type="dxa"/>
                </w:tcPr>
                <w:p w:rsidR="0029290A" w:rsidRPr="00FC03E4" w:rsidRDefault="0029290A" w:rsidP="00112450">
                  <w:pPr>
                    <w:tabs>
                      <w:tab w:val="left" w:pos="3870"/>
                    </w:tabs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C03E4" w:rsidRPr="0075283E" w:rsidRDefault="00FC03E4" w:rsidP="00D255BB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693E" w:rsidRPr="0029290A" w:rsidRDefault="009A7313" w:rsidP="0029290A">
      <w:pPr>
        <w:pStyle w:val="a5"/>
        <w:spacing w:before="120" w:beforeAutospacing="0" w:after="120" w:afterAutospacing="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Порядок</w:t>
      </w:r>
      <w:r w:rsidR="0070693E" w:rsidRPr="0029290A">
        <w:rPr>
          <w:b/>
          <w:sz w:val="48"/>
          <w:szCs w:val="48"/>
          <w:lang w:val="ru-RU"/>
        </w:rPr>
        <w:t xml:space="preserve"> и основани</w:t>
      </w:r>
      <w:r w:rsidR="0029290A">
        <w:rPr>
          <w:b/>
          <w:sz w:val="48"/>
          <w:szCs w:val="48"/>
          <w:lang w:val="ru-RU"/>
        </w:rPr>
        <w:t>е</w:t>
      </w:r>
      <w:r w:rsidR="0070693E" w:rsidRPr="0029290A">
        <w:rPr>
          <w:b/>
          <w:sz w:val="48"/>
          <w:szCs w:val="48"/>
          <w:lang w:val="ru-RU"/>
        </w:rPr>
        <w:t xml:space="preserve"> перевода, </w:t>
      </w:r>
      <w:r w:rsidR="00FC03E4" w:rsidRPr="0029290A">
        <w:rPr>
          <w:b/>
          <w:sz w:val="48"/>
          <w:szCs w:val="48"/>
          <w:lang w:val="ru-RU"/>
        </w:rPr>
        <w:t xml:space="preserve">                          </w:t>
      </w:r>
      <w:r w:rsidR="0070693E" w:rsidRPr="0029290A">
        <w:rPr>
          <w:b/>
          <w:sz w:val="48"/>
          <w:szCs w:val="48"/>
          <w:lang w:val="ru-RU"/>
        </w:rPr>
        <w:t>отчислени</w:t>
      </w:r>
      <w:r w:rsidR="00FC03E4" w:rsidRPr="0029290A">
        <w:rPr>
          <w:b/>
          <w:sz w:val="48"/>
          <w:szCs w:val="48"/>
          <w:lang w:val="ru-RU"/>
        </w:rPr>
        <w:t>я</w:t>
      </w:r>
      <w:r w:rsidR="0070693E" w:rsidRPr="0029290A">
        <w:rPr>
          <w:b/>
          <w:sz w:val="48"/>
          <w:szCs w:val="48"/>
          <w:lang w:val="ru-RU"/>
        </w:rPr>
        <w:t xml:space="preserve"> воспитанников</w:t>
      </w:r>
    </w:p>
    <w:p w:rsidR="0070693E" w:rsidRPr="009A7313" w:rsidRDefault="0070693E" w:rsidP="0029290A">
      <w:pPr>
        <w:pStyle w:val="a5"/>
        <w:spacing w:before="120" w:beforeAutospacing="0" w:after="120" w:afterAutospacing="0"/>
        <w:jc w:val="center"/>
        <w:rPr>
          <w:b/>
          <w:sz w:val="48"/>
          <w:szCs w:val="48"/>
          <w:lang w:val="ru-RU"/>
        </w:rPr>
      </w:pPr>
      <w:r w:rsidRPr="009A7313">
        <w:rPr>
          <w:b/>
          <w:sz w:val="48"/>
          <w:szCs w:val="48"/>
          <w:lang w:val="ru-RU"/>
        </w:rPr>
        <w:t>муниципального бюджетно</w:t>
      </w:r>
      <w:r w:rsidR="00FC03E4" w:rsidRPr="009A7313">
        <w:rPr>
          <w:b/>
          <w:sz w:val="48"/>
          <w:szCs w:val="48"/>
          <w:lang w:val="ru-RU"/>
        </w:rPr>
        <w:t>го</w:t>
      </w:r>
      <w:r w:rsidRPr="009A7313">
        <w:rPr>
          <w:b/>
          <w:sz w:val="48"/>
          <w:szCs w:val="48"/>
          <w:lang w:val="ru-RU"/>
        </w:rPr>
        <w:t xml:space="preserve"> дошкольно</w:t>
      </w:r>
      <w:r w:rsidR="00FC03E4" w:rsidRPr="009A7313">
        <w:rPr>
          <w:b/>
          <w:sz w:val="48"/>
          <w:szCs w:val="48"/>
          <w:lang w:val="ru-RU"/>
        </w:rPr>
        <w:t>го</w:t>
      </w:r>
      <w:r w:rsidRPr="009A7313">
        <w:rPr>
          <w:b/>
          <w:sz w:val="48"/>
          <w:szCs w:val="48"/>
          <w:lang w:val="ru-RU"/>
        </w:rPr>
        <w:t xml:space="preserve">  образовательно</w:t>
      </w:r>
      <w:r w:rsidR="00D255BB" w:rsidRPr="009A7313">
        <w:rPr>
          <w:b/>
          <w:sz w:val="48"/>
          <w:szCs w:val="48"/>
          <w:lang w:val="ru-RU"/>
        </w:rPr>
        <w:t>го</w:t>
      </w:r>
      <w:r w:rsidRPr="009A7313">
        <w:rPr>
          <w:b/>
          <w:sz w:val="48"/>
          <w:szCs w:val="48"/>
          <w:lang w:val="ru-RU"/>
        </w:rPr>
        <w:t xml:space="preserve"> учреждени</w:t>
      </w:r>
      <w:r w:rsidR="00D255BB" w:rsidRPr="009A7313">
        <w:rPr>
          <w:b/>
          <w:sz w:val="48"/>
          <w:szCs w:val="48"/>
          <w:lang w:val="ru-RU"/>
        </w:rPr>
        <w:t>я</w:t>
      </w:r>
    </w:p>
    <w:p w:rsidR="0070693E" w:rsidRPr="009A7313" w:rsidRDefault="0070693E" w:rsidP="0029290A">
      <w:pPr>
        <w:pStyle w:val="a5"/>
        <w:spacing w:before="120" w:beforeAutospacing="0" w:after="120" w:afterAutospacing="0"/>
        <w:jc w:val="center"/>
        <w:rPr>
          <w:b/>
          <w:sz w:val="48"/>
          <w:szCs w:val="48"/>
          <w:lang w:val="ru-RU"/>
        </w:rPr>
      </w:pPr>
      <w:r w:rsidRPr="009A7313">
        <w:rPr>
          <w:b/>
          <w:sz w:val="48"/>
          <w:szCs w:val="48"/>
          <w:lang w:val="ru-RU"/>
        </w:rPr>
        <w:t>«Детский сад № 43»</w:t>
      </w:r>
    </w:p>
    <w:p w:rsidR="0070693E" w:rsidRPr="0070693E" w:rsidRDefault="0070693E" w:rsidP="0070693E">
      <w:pPr>
        <w:jc w:val="center"/>
        <w:rPr>
          <w:b/>
          <w:sz w:val="28"/>
          <w:szCs w:val="28"/>
          <w:lang w:val="ru-RU"/>
        </w:rPr>
      </w:pPr>
    </w:p>
    <w:p w:rsidR="00D252F9" w:rsidRPr="00D252F9" w:rsidRDefault="00D252F9" w:rsidP="00D252F9">
      <w:pPr>
        <w:widowControl w:val="0"/>
        <w:spacing w:line="276" w:lineRule="auto"/>
        <w:jc w:val="center"/>
        <w:rPr>
          <w:snapToGrid w:val="0"/>
          <w:sz w:val="32"/>
          <w:szCs w:val="32"/>
          <w:lang w:val="ru-RU"/>
        </w:rPr>
      </w:pPr>
    </w:p>
    <w:p w:rsidR="00D252F9" w:rsidRPr="00D252F9" w:rsidRDefault="00D252F9" w:rsidP="00D252F9">
      <w:pPr>
        <w:widowControl w:val="0"/>
        <w:spacing w:line="276" w:lineRule="auto"/>
        <w:jc w:val="center"/>
        <w:rPr>
          <w:snapToGrid w:val="0"/>
          <w:sz w:val="32"/>
          <w:szCs w:val="32"/>
          <w:lang w:val="ru-RU"/>
        </w:rPr>
      </w:pPr>
    </w:p>
    <w:p w:rsidR="00D252F9" w:rsidRPr="00D252F9" w:rsidRDefault="00D252F9" w:rsidP="00D252F9">
      <w:pPr>
        <w:widowControl w:val="0"/>
        <w:spacing w:line="276" w:lineRule="auto"/>
        <w:jc w:val="center"/>
        <w:rPr>
          <w:snapToGrid w:val="0"/>
          <w:sz w:val="32"/>
          <w:szCs w:val="32"/>
          <w:lang w:val="ru-RU"/>
        </w:rPr>
      </w:pPr>
    </w:p>
    <w:p w:rsidR="00D252F9" w:rsidRDefault="00D252F9" w:rsidP="00D252F9">
      <w:pPr>
        <w:spacing w:line="276" w:lineRule="auto"/>
        <w:rPr>
          <w:sz w:val="28"/>
          <w:szCs w:val="28"/>
          <w:lang w:val="ru-RU"/>
        </w:rPr>
      </w:pPr>
    </w:p>
    <w:p w:rsidR="00D255BB" w:rsidRDefault="00D255BB" w:rsidP="00D252F9">
      <w:pPr>
        <w:spacing w:line="276" w:lineRule="auto"/>
        <w:rPr>
          <w:sz w:val="28"/>
          <w:szCs w:val="28"/>
          <w:lang w:val="ru-RU"/>
        </w:rPr>
      </w:pPr>
    </w:p>
    <w:p w:rsidR="0070693E" w:rsidRDefault="0070693E" w:rsidP="00D252F9">
      <w:pPr>
        <w:spacing w:line="276" w:lineRule="auto"/>
        <w:rPr>
          <w:sz w:val="28"/>
          <w:szCs w:val="28"/>
          <w:lang w:val="ru-RU"/>
        </w:rPr>
      </w:pPr>
    </w:p>
    <w:p w:rsidR="00851B6E" w:rsidRDefault="00851B6E" w:rsidP="00D252F9">
      <w:pPr>
        <w:spacing w:line="276" w:lineRule="auto"/>
        <w:rPr>
          <w:sz w:val="28"/>
          <w:szCs w:val="28"/>
          <w:lang w:val="ru-RU"/>
        </w:rPr>
      </w:pPr>
    </w:p>
    <w:p w:rsidR="00D252F9" w:rsidRDefault="00D252F9" w:rsidP="00D252F9">
      <w:pPr>
        <w:spacing w:line="276" w:lineRule="auto"/>
        <w:jc w:val="center"/>
        <w:rPr>
          <w:lang w:val="ru-RU"/>
        </w:rPr>
      </w:pPr>
      <w:r w:rsidRPr="0070693E">
        <w:rPr>
          <w:lang w:val="ru-RU"/>
        </w:rPr>
        <w:t>г. Таганрог</w:t>
      </w:r>
    </w:p>
    <w:p w:rsidR="00851B6E" w:rsidRDefault="00851B6E" w:rsidP="00D252F9">
      <w:pPr>
        <w:spacing w:line="276" w:lineRule="auto"/>
        <w:jc w:val="center"/>
        <w:rPr>
          <w:lang w:val="ru-RU"/>
        </w:rPr>
      </w:pPr>
      <w:bookmarkStart w:id="0" w:name="_GoBack"/>
      <w:bookmarkEnd w:id="0"/>
    </w:p>
    <w:p w:rsidR="004D7DA7" w:rsidRPr="00613D92" w:rsidRDefault="00613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воспитанников (далее —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порядок)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утвержденными приказом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уставом Муниципального бюджетного дошкольного образовательного учреждения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программам дошкольного образования или получающих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программы.</w:t>
      </w:r>
    </w:p>
    <w:p w:rsidR="004D7DA7" w:rsidRPr="00613D92" w:rsidRDefault="00613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воспитанников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переводу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относятся:</w:t>
      </w:r>
    </w:p>
    <w:p w:rsidR="004D7DA7" w:rsidRPr="00613D92" w:rsidRDefault="00613D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одной группы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другую группу детского сада 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реализацией образовательной программы дошкольного образования 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направленности;</w:t>
      </w:r>
    </w:p>
    <w:p w:rsidR="004D7DA7" w:rsidRPr="00613D92" w:rsidRDefault="00613D9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другую 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2.2. Перевод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4D7DA7" w:rsidRPr="00613D92" w:rsidRDefault="00613D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4D7DA7" w:rsidRPr="00D3278F" w:rsidRDefault="00613D9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78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78F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D327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 Перевод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заведующим 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>МБДОУ             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2.3.3. Заведующий 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воспитанник переведен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другую группу.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д/с № 43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D3278F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2.3.6.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765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изменения условий получения образования, заведующий </w:t>
      </w:r>
      <w:r w:rsidR="0005765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получения согласия обоих родителей (законных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05765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2.3.3 настоящего порядка.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2.3.9.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его переводу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изменения условий получения образования, заведующий </w:t>
      </w:r>
      <w:r w:rsidR="0005765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765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D255B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 xml:space="preserve">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а) изменения количества групп, реализующих образовательную программу одинакового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летний период;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б) изменения количества групп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2.4.1. Перевод воспитанника (воспитанников)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оформляется приказом.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пожелания родителей (законных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учетом обеспечения требований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порядку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возможностей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 (воспитанников)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2.4.2. Решение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четырнадцать 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2.4.3. При переводе более двадцати воспитанников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(без указания списочного состава групп)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этом случае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4D7DA7" w:rsidRPr="00613D92" w:rsidRDefault="004D7D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7DA7" w:rsidRPr="00613D92" w:rsidRDefault="00613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направленности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возможен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3.2. Перевод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родителя (законного представителя) воспитанника.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возможностями здоровья прилагаются рекомендации психолого-медико-педагогической комиссии.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3.3.1.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другой направленности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347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заведующим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         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недостижения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другой направленности.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3.3.2.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представителя) заведующий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3.3.3. Заведующий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обязанности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рассмотрения заявления. </w:t>
      </w:r>
      <w:proofErr w:type="gramStart"/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 правилами делопроизводства.</w:t>
      </w:r>
      <w:proofErr w:type="gramEnd"/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переводом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3.3.6.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недостижения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3.3.7.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4D7DA7" w:rsidRPr="00613D92" w:rsidRDefault="00613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реализующей образовательную программу,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без реализации образовательной программы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возможен:</w:t>
      </w:r>
    </w:p>
    <w:p w:rsidR="004D7DA7" w:rsidRPr="00613D92" w:rsidRDefault="00613D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4D7DA7" w:rsidRDefault="00613D9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представителя)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д) номер 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 которую заявлен перевод.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правилами делопроизводства.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заведующим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          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недостижения родителями (законными представителями)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4.2.3.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представителя) заведующий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4.2.4. Заведующий </w:t>
      </w:r>
      <w:r w:rsidR="007C19B2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обязанности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реализации образовательной программы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4.2.6.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4.2.7.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недостижения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4.2.8.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4.2.4 настоящего порядка.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случае, когда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завершено,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уходу продолжают оказываться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4.3.1. Инициатива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четырнадцать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завершения обучения.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4.3.2. Согласие родителя (законного представителя) каждого воспитанника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виде заявления.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срок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совпадает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сроком реализации образовательной программы, 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4.3.3. 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обязанности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 изменяются.</w:t>
      </w:r>
    </w:p>
    <w:p w:rsidR="004D7DA7" w:rsidRPr="00613D92" w:rsidRDefault="00613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воспитанника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5.1.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4D7DA7" w:rsidRPr="00613D92" w:rsidRDefault="00613D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воспитанника;</w:t>
      </w:r>
    </w:p>
    <w:p w:rsidR="004D7DA7" w:rsidRPr="00613D92" w:rsidRDefault="00613D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прекращения деятельности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деятельности;</w:t>
      </w:r>
    </w:p>
    <w:p w:rsidR="004D7DA7" w:rsidRPr="00613D92" w:rsidRDefault="00613D9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приостановления действия лицензии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5.2. 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воспитанника,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отчисления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5.3.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зачислении воспитанника,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</w:p>
    <w:p w:rsidR="004D7DA7" w:rsidRPr="00EB7A90" w:rsidRDefault="00613D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P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Временный перевод в</w:t>
      </w:r>
      <w:r w:rsidRPr="00EB7A9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EB7A90">
        <w:rPr>
          <w:b/>
          <w:bCs/>
          <w:lang w:val="ru-RU"/>
        </w:rPr>
        <w:br/>
      </w:r>
      <w:r w:rsidRP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EB7A90">
        <w:rPr>
          <w:b/>
          <w:bCs/>
          <w:lang w:val="ru-RU"/>
        </w:rPr>
        <w:br/>
      </w:r>
      <w:r w:rsidRP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B7A9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6.1. Временный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Управлением образования г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4D7DA7" w:rsidRPr="00613D92" w:rsidRDefault="00613D92" w:rsidP="00D255BB">
      <w:pPr>
        <w:numPr>
          <w:ilvl w:val="0"/>
          <w:numId w:val="5"/>
        </w:numPr>
        <w:tabs>
          <w:tab w:val="clear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капитального (текущего) ремонта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объема работ);</w:t>
      </w:r>
    </w:p>
    <w:p w:rsidR="004D7DA7" w:rsidRDefault="00D255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13D92">
        <w:rPr>
          <w:rFonts w:hAnsi="Times New Roman" w:cs="Times New Roman"/>
          <w:color w:val="000000"/>
          <w:sz w:val="24"/>
          <w:szCs w:val="24"/>
        </w:rPr>
        <w:t>сноса</w:t>
      </w:r>
      <w:proofErr w:type="spellEnd"/>
      <w:r w:rsidR="00613D9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3D92">
        <w:rPr>
          <w:rFonts w:hAnsi="Times New Roman" w:cs="Times New Roman"/>
          <w:color w:val="000000"/>
          <w:sz w:val="24"/>
          <w:szCs w:val="24"/>
        </w:rPr>
        <w:t>здания</w:t>
      </w:r>
      <w:proofErr w:type="spellEnd"/>
      <w:r w:rsidR="00613D9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613D92">
        <w:rPr>
          <w:rFonts w:hAnsi="Times New Roman" w:cs="Times New Roman"/>
          <w:color w:val="000000"/>
          <w:sz w:val="24"/>
          <w:szCs w:val="24"/>
        </w:rPr>
        <w:t>.</w:t>
      </w:r>
    </w:p>
    <w:p w:rsidR="00EB7A90" w:rsidRPr="00EB7A90" w:rsidRDefault="00EB7A90">
      <w:pPr>
        <w:rPr>
          <w:rFonts w:hAnsi="Times New Roman" w:cs="Times New Roman"/>
          <w:color w:val="000000"/>
          <w:sz w:val="10"/>
          <w:szCs w:val="10"/>
          <w:lang w:val="ru-RU"/>
        </w:rPr>
      </w:pP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6.2. Временный перевод воспитанников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аспорядительного акта Управления образования г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7DA7" w:rsidRPr="00613D92" w:rsidRDefault="00613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613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7.1. Прекращение образовательных отношений (отчисление воспитанников)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б) 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при отсутствии согласия родителя для перевода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реализации образовательной программы 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д) дата отчисления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7.3.1. Заявление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7.3.2. Заведующий </w:t>
      </w:r>
      <w:r w:rsidR="00EB7A90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д/с № 43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трех рабочих дней </w:t>
      </w:r>
      <w:proofErr w:type="gramStart"/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</w:t>
      </w:r>
      <w:proofErr w:type="gramEnd"/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позднее 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основание отчисления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отчисления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7.3.3. Заявление родителя (законного представителя) воспитанника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может быть отозвано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7.3.4.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прекращения образовательных отношений, заведующий 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воспитанника,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вопросу отчисления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7.3.6.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отчисление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указанием новой даты отчисления,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также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7.3.2 настоящего порядка.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7.3.7.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его отчисления, заведующий 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указанием основания для отказа, 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делопроизводства.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заведующий 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4D7DA7" w:rsidRPr="00613D92" w:rsidRDefault="00613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7.4.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воспитанника, предусмотренные законодательством об</w:t>
      </w:r>
      <w:r w:rsidRPr="00613D92">
        <w:rPr>
          <w:lang w:val="ru-RU"/>
        </w:rPr>
        <w:br/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7E3BD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3D92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отчисления.</w:t>
      </w:r>
    </w:p>
    <w:sectPr w:rsidR="004D7DA7" w:rsidRPr="00613D92" w:rsidSect="00D255BB">
      <w:pgSz w:w="11907" w:h="16839"/>
      <w:pgMar w:top="709" w:right="85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34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C6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63A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06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650"/>
    <w:rsid w:val="00122EFA"/>
    <w:rsid w:val="0029290A"/>
    <w:rsid w:val="002D33B1"/>
    <w:rsid w:val="002D3591"/>
    <w:rsid w:val="003514A0"/>
    <w:rsid w:val="004D7DA7"/>
    <w:rsid w:val="004F7D83"/>
    <w:rsid w:val="004F7E17"/>
    <w:rsid w:val="005377C4"/>
    <w:rsid w:val="005A05CE"/>
    <w:rsid w:val="00613D92"/>
    <w:rsid w:val="00653AF6"/>
    <w:rsid w:val="006E4203"/>
    <w:rsid w:val="0070693E"/>
    <w:rsid w:val="0075283E"/>
    <w:rsid w:val="007C19B2"/>
    <w:rsid w:val="007E3BDC"/>
    <w:rsid w:val="00851B6E"/>
    <w:rsid w:val="009A7313"/>
    <w:rsid w:val="009D347D"/>
    <w:rsid w:val="00B40E33"/>
    <w:rsid w:val="00B73A5A"/>
    <w:rsid w:val="00D252F9"/>
    <w:rsid w:val="00D255BB"/>
    <w:rsid w:val="00D3278F"/>
    <w:rsid w:val="00E438A1"/>
    <w:rsid w:val="00EB7A90"/>
    <w:rsid w:val="00F01E19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3B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3BDC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3B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3BD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dc:description>Подготовлено экспертами Актион-МЦФЭР</dc:description>
  <cp:lastModifiedBy>user</cp:lastModifiedBy>
  <cp:revision>14</cp:revision>
  <cp:lastPrinted>2023-02-16T12:01:00Z</cp:lastPrinted>
  <dcterms:created xsi:type="dcterms:W3CDTF">2023-02-13T13:36:00Z</dcterms:created>
  <dcterms:modified xsi:type="dcterms:W3CDTF">2023-02-16T13:32:00Z</dcterms:modified>
</cp:coreProperties>
</file>